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Shoprite Checkers (Pty) Ltd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Shoprite Checkers (Pty) Ltd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8 Braambos Lane,7347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021 -  -701-3424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#-00094750He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11-February-2022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Tatu Connect Limited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14 Bonanza Street,Gauteng,6442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080 -  -829-4035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30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Basic Buffet Catering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54.49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Basic Buffet Catering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54.49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9779.2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Basic Buffet Catering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54.49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2234285.55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486269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Empty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81865234705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