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Coega Development Corporation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365 Ontdekkers Road,Roodepoort,Gauteng,1709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060 -  -781-7046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#_0083022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City Of Cape Town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010 -  -721-8517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14 Bonanza Street,Gauteng,6442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Local Courier Service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364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255.59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6409.84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61573441637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7659248.42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186149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