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Exxaro Resources Ltd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2022-08-11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INUMB_0000014241Gb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'VAT Reg ID_36219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Business Connexion Namibia (Pty) Ltd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'VAT Reg ID_36219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'PO No_055796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Logo Design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433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292.9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6630.71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Exxaro Resources Ltd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FNB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88278835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661765.0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346113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