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10-01-2023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Agility Holdings (Pty) Ltd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Esayidi FET College Centre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011 -  -737-4850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ABSA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171236000370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PO_NUMB-000003795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VAT #_000097217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#000093450Wy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Tax -000002083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Financial Consulting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286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901.12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2725.21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2282401.0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12895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