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Arena Holdings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The National School of Government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The National School of Government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##-010796Kd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29/06/2023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Hardcover Books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26.96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1445.76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Hardcover Books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26.96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1445.76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Hardcover Books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26.96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1445.76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Hardcover Books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26.96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1445.76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Hardcover Books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26.96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1445.76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946194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951250.67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946194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The National School of Government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6829110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