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Medicross Healthcare Group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#NUMB- 0066887Xb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26 Jan 2022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Africa Vessel Verification CC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817.32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R9885.01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817.32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R9885.01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817.32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R9885.01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7719952.43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174345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