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Rustenburg Local Municipality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INVO: 00233Ij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13-December-2023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Kwena Human Capital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935.58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R4928.5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935.58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R4928.5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935.58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R4928.5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6152872.71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990782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