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INV_024188Ho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INV_024188Ho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Faurecia Emissions Control Technologies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Johan Bosch Trust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May 22, 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612.13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9482.65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612.13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9482.65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912483000370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912483000370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3235258.46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975547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975547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