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#00030386Ae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#00030386Ae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Mobile Telephone Networks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Ariston Thermo South Africa (Pty) Ltd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14 Bonanza Street,Gauteng,6442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2023-05-07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Social Media 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806.39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7011.36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Social Media Graphics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806.39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47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7011.36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Capitec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198247000370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Capitec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198247000370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5154291.0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481133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481133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