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#0000038235Rh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#0000038235Rh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Pioneer Hi-Bred RSA Pty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Global EntServ Solutions Galway Limited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07-26-2022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421.74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8082.35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421.74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200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8082.35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56444507188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56444507188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4212051.0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795656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795656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