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Nike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30/09/23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INV-0096541Le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Nike South Africa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30/09/23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INV-0096541Le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Empty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118450000370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5584281.0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915913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9410.95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9410.95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9410.95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9410.95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9410.95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9410.95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