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SITA SOC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INVO: 021229Yw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06-Apr-2020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SITA SOC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064 -  -794-7558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SITA SOC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064 -  -794-7558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170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Formal Sit-Down Dinner 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72.1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7397.94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3025368.29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372910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