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Department of Water and Sanitation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INUMB_00020265De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2023-12-04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Caritas Schweiz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065 -  -965-5610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# 0000068354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 71150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#TAX - 10275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492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Basic Buffet Catering 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66.41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8308.82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8376573.74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827136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Department of Water and Sanitation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