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Massmart Services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2020/05/16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Best Print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015 -  -806-6668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No.089250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#-012644Go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TIN00041498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VAT_NUM_0068282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461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Social Media Graphics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788.77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6741.45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8693582.9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530885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