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Sasol South Africa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2021/08/01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Tsogo Sun Casino Management Company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068 -  -839-3147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#@_0012514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INVOICE:000033222If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 -00008672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- 000093209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42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Business Strategy Consulting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326.58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3788.03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1714043.31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781728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