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Tsebo Facilities Solutions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28/Apr/2023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Air Liquide Large Industries South Africa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010 -  -981-6795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## 000012788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#07385Uk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00007967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#_000055701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167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Website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240.31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3743.77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4477476.0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517116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