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21 S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BILL_000058779Zx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CORRUSEAL SF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Sanlam Life Insurance Limited:GTI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422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Event Coordination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71.11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9630.64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4990677.0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558878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BILL_000058779Zx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BILL_000058779Zx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