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28/07/21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INUMB_24327Ya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Julius Bär  Co. Ltd.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Heyns  Partners Inc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273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Remote Tech Support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887.03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3914.1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803001.5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491860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INUMB_24327Ya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INUMB_24327Ya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