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30-May-2020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INUMB_0000067036Kb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PG Glass a Division of PG Group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Easigas (Pty) Ltd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324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Gift Bags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451.81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8980.41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5319786.0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202997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INUMB_0000067036Kb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INUMB_0000067036Kb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