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##-98848Sp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21/04/2023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Value Logistics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ABB South Africa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293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Printing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558.44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8517.0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296238.0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496425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##-98848Sp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##-98848Sp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