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INVOICE:000033222If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2021/08/01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Tsogo Sun Casino Management Company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Sasol South Africa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42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Consultation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961.79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3788.03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1714043.31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781728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INVOICE:000033222If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INVOICE:000033222If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