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Agility Holdings (Pty) Ltd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#000093450Wy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10-01-2023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011 -  -737-4850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Esayidi FET College Centre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Esayidi FET College Centre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PO_NUMB-000003795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Esayidi FET College Centre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PO_NUMB-000003795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Financial Consulting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286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2725.21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2282401.0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12895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