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Lakama Catering Services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BILL_TO-00025286Td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November 07, 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(+213) -  -834-3908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Colour Hair and Beauty SA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Colour Hair and Beauty SA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#@_0089920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Colour Hair and Beauty SA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#@_0089920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Business Strategy Consulting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341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3868.22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4405021.19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968975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