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Sasol South Africa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Tsogo Sun Casino Management Company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INVOICE:000033222If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2021/08/01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Business Strategy Consulting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42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326.58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3788.03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781728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