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Pioneer Hi-Bred RSA Pty Ltd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Global EntServ Solutions Galway Limited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#0000038235Rh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07-26-2022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Financial Consulting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200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421.74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8082.35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4212051.0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795656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Empty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56444507188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