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Kagiso Media (Pty) 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06 May 2021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B-09289Xo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'PO No_0017090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Department of Home Affairs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Armed Security Gaurd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390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800.58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3428.46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8139673.0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777805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