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Old Mutual Life Assurance Company (SA) Ltd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Jul 03, 23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INVOICE:065078Km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PON-0000069366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Pazozone (Pty) Ltd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A5 Flyers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132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153.63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4695.29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2334106.0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985570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