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Department of Infrastructure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BILL_0000082056Px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Red Alert TSS (Pty)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071 -  -755-8544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Business Cards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387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580.14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3689.4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572558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Red Alert TSS (Pty)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Empty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4534976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