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Emfuleni Local Municipality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INV000052144Sj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Blaauwklippen Devco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021 -  -941-6545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E-commerce Development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370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211.48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5802.59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277458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Blaauwklippen Devco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76993313343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