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The Services Seta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#NUMB- 0000048284Dm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Norman Wink Stephens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065 -  -987-0688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USB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67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552.42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6720.49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800053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Norman Wink Stephens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Empty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406922000370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