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Vodacom (Pty) Ltd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INV-017416Lf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Buena Vista Trading 106 PTY LTD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065 -  -847-5960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Same-Day Delivery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68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863.35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6746.55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351906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Buena Vista Trading 106 PTY LTD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FNB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126358000370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