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MTN Rwandacell PLC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26-Jun-2021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#INV06005Jx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Kumtor Gold Company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095 -  -992-8526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887.02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5237.13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887.02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5237.13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887.02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5237.13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480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887.02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5237.13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232663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