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Coega Development Corporation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Coega Development Corporation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City Of Cape Town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INVO: 37407Vj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10-Dec-2021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Local Courier Service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294.31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145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8248.64 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3520977.0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240773000370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906265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