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Hirophase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Hirophase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Paramount Property Fund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B-026312Hj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21/01/2023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Event Coordination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742.88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12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9317.0 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9302649.66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157976000370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463836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