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Nampak Products Limited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011 -  -750-0561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05/06/2021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Nampak Products Limited@gmail.com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USB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107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R637.82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R9192.03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R646355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