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Kagiso Media (Pty) Ltd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068 -  -960-6014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06 May 2021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Kagiso Media (Pty) Ltd@gmail.com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Armed Security Gaurd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390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R800.58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R3428.46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R777805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