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Clover (Pty)Ltd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+27 -  -759-0946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17/08/23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Clover (Pty)Ltd@gmail.com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Financial Consulting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422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R390.1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R7483.07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R400401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