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Africa Vessel Verification CC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060 -  -730-6791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26 Jan 2022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Africa Vessel Verification CC@gmail.com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Armed Security Guard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23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R817.32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R9885.01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R174345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