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Faurecia Emissions Control Technologies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INV_024188Ho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May 22, 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Johan Bosch Trust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679.05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9482.65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8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612.13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9482.65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3235258.46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975547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