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Mayuriza Pty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INV-0096541Le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30/09/23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Nike South Africa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746.78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9410.95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313.05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9410.95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5584281.0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915913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