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Coca-Cola Beverages South Africa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Bigen Africa Services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06/12/2022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INV_020671Va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No-00041972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250.42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113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2024.21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2024.21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687183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