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Telkom SA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SANDOZ AG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10-09-2021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INUMB_00085845Gk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No.00098278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470.57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216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4761.76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4761.76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437189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