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Kumtor Gold Company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26-Jun-2021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973.75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5237.13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R6625539.87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R232663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Discovery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2482821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