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Liberty Group Limited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26 May-2023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Consultation</w:t>
      </w:r>
      <w:r>
        <w:rPr>
          <w:rFonts w:ascii="Century Gothic"/>
          <w:sz w:val="30"/>
        </w:rPr>
        <w:tab/>
        <w:t xml:space="preserve">166.13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4857.54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R6965653.0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R496291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6405212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