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CORRUSEAL SF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Sanlam Life Insurance Limited:GTI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21 S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00 -  -735-1694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Sanlam Life Insurance Limited:GTI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BILL_000058779Zx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Coordination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71.11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422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9630.64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9630.64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R4990677.0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558878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