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Exxaro Resources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Business Connexion Namibia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2022-08-11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060 -  -930-0177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Business Connexion Namibia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INUMB_0000014241Gb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Logo Design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292.9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433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6630.71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6630.71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R661765.0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346113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