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Isanti Glass 1 (Pty)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Clover (Pty)Ltd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17/08/23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+27 -  -759-0946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Clover (Pty)Ltd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INV-41533Zy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Financial Consulting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390.1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422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7483.07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7483.07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R1210271.0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400401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