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Agility Holdings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#000093450Wy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Esayidi FET College Centre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10-01-2023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Financial Consulting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901.12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2725.21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R12895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ABSA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171236000370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