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Sasol South Africa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INVOICE:000033222If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Tsogo Sun Casino Management Company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2021/08/01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Business Strategy Consulting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326.58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3788.03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R781728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37716383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