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Coca-Cola Beverages South Africa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INV_020671Va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06/12/2022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Bigen Africa Services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Athlone, Cape Town,7764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-919-7936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Close,CPT, 6478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-919-6790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Black Pens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250.42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2024.21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9084797.23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687183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60198263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